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3985" w14:textId="77777777" w:rsidR="00663CC7" w:rsidRDefault="00663CC7">
      <w:pPr>
        <w:spacing w:after="0" w:line="259" w:lineRule="auto"/>
        <w:ind w:left="-1190" w:right="43" w:firstLine="0"/>
        <w:jc w:val="left"/>
      </w:pPr>
    </w:p>
    <w:tbl>
      <w:tblPr>
        <w:tblStyle w:val="TableGrid"/>
        <w:tblW w:w="9710" w:type="dxa"/>
        <w:tblInd w:w="-138" w:type="dxa"/>
        <w:tblCellMar>
          <w:top w:w="68" w:type="dxa"/>
          <w:left w:w="104" w:type="dxa"/>
          <w:right w:w="139" w:type="dxa"/>
        </w:tblCellMar>
        <w:tblLook w:val="04A0" w:firstRow="1" w:lastRow="0" w:firstColumn="1" w:lastColumn="0" w:noHBand="0" w:noVBand="1"/>
      </w:tblPr>
      <w:tblGrid>
        <w:gridCol w:w="2938"/>
        <w:gridCol w:w="6772"/>
      </w:tblGrid>
      <w:tr w:rsidR="00663CC7" w14:paraId="3EE7C72C" w14:textId="77777777" w:rsidTr="00550FB0">
        <w:trPr>
          <w:trHeight w:val="731"/>
        </w:trPr>
        <w:tc>
          <w:tcPr>
            <w:tcW w:w="9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6907511" w14:textId="77777777" w:rsidR="00663CC7" w:rsidRDefault="00423CF7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IZVJEŠĆE O PROVEDENOM SAVJETOVANJU SA ZAINTERESIRANOM JAVNOŠĆU</w:t>
            </w:r>
          </w:p>
        </w:tc>
      </w:tr>
      <w:tr w:rsidR="00663CC7" w14:paraId="0B14F925" w14:textId="77777777" w:rsidTr="00550FB0">
        <w:trPr>
          <w:trHeight w:val="921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0AD16" w14:textId="77777777" w:rsidR="00663CC7" w:rsidRPr="00550FB0" w:rsidRDefault="00423CF7" w:rsidP="00550FB0">
            <w:pPr>
              <w:spacing w:after="0" w:line="259" w:lineRule="auto"/>
              <w:ind w:left="0" w:right="30" w:firstLine="10"/>
              <w:jc w:val="left"/>
              <w:rPr>
                <w:b/>
                <w:bCs/>
              </w:rPr>
            </w:pPr>
            <w:r w:rsidRPr="00550FB0">
              <w:rPr>
                <w:b/>
                <w:bCs/>
              </w:rPr>
              <w:t>Naziv nacrta zakona, drugog propisa ili akta</w:t>
            </w:r>
          </w:p>
        </w:tc>
        <w:tc>
          <w:tcPr>
            <w:tcW w:w="6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AB880" w14:textId="1E65F96F" w:rsidR="00663CC7" w:rsidRPr="00550FB0" w:rsidRDefault="001C4DF5">
            <w:pPr>
              <w:spacing w:after="0" w:line="259" w:lineRule="auto"/>
              <w:ind w:left="0" w:firstLine="0"/>
              <w:jc w:val="center"/>
              <w:rPr>
                <w:b/>
                <w:bCs/>
                <w:szCs w:val="24"/>
              </w:rPr>
            </w:pPr>
            <w:r w:rsidRPr="00550FB0">
              <w:rPr>
                <w:b/>
                <w:bCs/>
                <w:szCs w:val="24"/>
              </w:rPr>
              <w:t>Nacrt prijedloga Odluke o izmjeni i dopuni Odluke o komunalnom doprinosu</w:t>
            </w:r>
          </w:p>
        </w:tc>
      </w:tr>
      <w:tr w:rsidR="00663CC7" w14:paraId="1C3A486B" w14:textId="77777777">
        <w:trPr>
          <w:trHeight w:val="835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6B079" w14:textId="77777777" w:rsidR="00663CC7" w:rsidRPr="00550FB0" w:rsidRDefault="00423CF7" w:rsidP="00550FB0">
            <w:pPr>
              <w:spacing w:after="0" w:line="259" w:lineRule="auto"/>
              <w:ind w:firstLine="5"/>
              <w:jc w:val="left"/>
              <w:rPr>
                <w:b/>
                <w:bCs/>
              </w:rPr>
            </w:pPr>
            <w:r w:rsidRPr="00550FB0">
              <w:rPr>
                <w:b/>
                <w:bCs/>
              </w:rPr>
              <w:t>Naziv tijela nadležnog za izradu nacrta</w:t>
            </w:r>
          </w:p>
        </w:tc>
        <w:tc>
          <w:tcPr>
            <w:tcW w:w="6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CCD5FF" w14:textId="0B998DEF" w:rsidR="00663CC7" w:rsidRPr="001C4DF5" w:rsidRDefault="00423CF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1C4DF5">
              <w:rPr>
                <w:szCs w:val="24"/>
              </w:rPr>
              <w:t xml:space="preserve">Grad Šibenik, Upravni odjel za </w:t>
            </w:r>
            <w:r w:rsidR="001C4DF5" w:rsidRPr="001C4DF5">
              <w:rPr>
                <w:szCs w:val="24"/>
              </w:rPr>
              <w:t>komunalne djelatnosti</w:t>
            </w:r>
          </w:p>
        </w:tc>
      </w:tr>
      <w:tr w:rsidR="00663CC7" w14:paraId="3C2B13DF" w14:textId="77777777">
        <w:trPr>
          <w:trHeight w:val="835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F8EDDE" w14:textId="77777777" w:rsidR="00663CC7" w:rsidRPr="00550FB0" w:rsidRDefault="00423CF7" w:rsidP="00550FB0">
            <w:pPr>
              <w:spacing w:after="0" w:line="259" w:lineRule="auto"/>
              <w:ind w:firstLine="5"/>
              <w:jc w:val="left"/>
              <w:rPr>
                <w:b/>
                <w:bCs/>
              </w:rPr>
            </w:pPr>
            <w:r w:rsidRPr="00550FB0">
              <w:rPr>
                <w:b/>
                <w:bCs/>
              </w:rPr>
              <w:t>Razdoblje savjetovanja (početak i završetak)</w:t>
            </w:r>
          </w:p>
        </w:tc>
        <w:tc>
          <w:tcPr>
            <w:tcW w:w="6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CA0B95" w14:textId="15729D52" w:rsidR="00663CC7" w:rsidRPr="00C765A2" w:rsidRDefault="001C4DF5" w:rsidP="001C4DF5">
            <w:pPr>
              <w:pStyle w:val="Odlomakpopisa"/>
              <w:numPr>
                <w:ilvl w:val="0"/>
                <w:numId w:val="1"/>
              </w:numPr>
              <w:spacing w:after="0" w:line="259" w:lineRule="auto"/>
              <w:jc w:val="center"/>
              <w:rPr>
                <w:szCs w:val="24"/>
              </w:rPr>
            </w:pPr>
            <w:r w:rsidRPr="00C765A2">
              <w:rPr>
                <w:szCs w:val="24"/>
              </w:rPr>
              <w:t>09. do 05. 09. 2021.</w:t>
            </w:r>
          </w:p>
        </w:tc>
      </w:tr>
      <w:tr w:rsidR="00663CC7" w14:paraId="41B626CD" w14:textId="77777777">
        <w:trPr>
          <w:trHeight w:val="3325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61A17" w14:textId="77777777" w:rsidR="00663CC7" w:rsidRPr="00550FB0" w:rsidRDefault="00423CF7" w:rsidP="00550FB0">
            <w:pPr>
              <w:spacing w:after="0" w:line="259" w:lineRule="auto"/>
              <w:ind w:right="112" w:firstLine="0"/>
              <w:jc w:val="left"/>
              <w:rPr>
                <w:b/>
                <w:bCs/>
              </w:rPr>
            </w:pPr>
            <w:r w:rsidRPr="00550FB0">
              <w:rPr>
                <w:b/>
                <w:bCs/>
              </w:rPr>
              <w:t>Obrazloženje razloga i ciljeva koji se žele postići donošenjem akta odnosno drugog dokumenta</w:t>
            </w:r>
          </w:p>
        </w:tc>
        <w:tc>
          <w:tcPr>
            <w:tcW w:w="6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C4264" w14:textId="77777777" w:rsidR="001C4DF5" w:rsidRPr="001C4DF5" w:rsidRDefault="001C4DF5" w:rsidP="00550FB0">
            <w:pPr>
              <w:spacing w:after="0" w:line="240" w:lineRule="auto"/>
              <w:ind w:left="1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C4DF5">
              <w:rPr>
                <w:rFonts w:asciiTheme="minorHAnsi" w:hAnsiTheme="minorHAnsi" w:cstheme="minorHAnsi"/>
                <w:szCs w:val="24"/>
              </w:rPr>
              <w:t>Odredbama Zakona o komunalnom gospodarstvu („Narodne novine“, broj 68/18, 118/18 i 32/20) uređuju se pitanja komunalnog doprinosa, kao novčanih javnih davanja koja se plaćaju za građenje i održavanje objekata i uređaja komunalne infrastrukture.</w:t>
            </w:r>
          </w:p>
          <w:p w14:paraId="176ABA1C" w14:textId="01FDB3ED" w:rsidR="001C4DF5" w:rsidRPr="001C4DF5" w:rsidRDefault="001C4DF5" w:rsidP="00550FB0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C4DF5">
              <w:rPr>
                <w:rFonts w:asciiTheme="minorHAnsi" w:hAnsiTheme="minorHAnsi" w:cstheme="minorHAnsi"/>
                <w:szCs w:val="24"/>
              </w:rPr>
              <w:t>Odredbama Zakona o komunalnog gospodarstvu jedinična vrijednost komunalnog doprinosa utvrđuje se prema naprijed navedenim kriterijima bez obzira o kojoj se namjeni građevine radi.</w:t>
            </w:r>
          </w:p>
          <w:p w14:paraId="5C22E4F3" w14:textId="6C865C45" w:rsidR="00663CC7" w:rsidRPr="001C4DF5" w:rsidRDefault="001C4DF5" w:rsidP="00550FB0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C4DF5">
              <w:rPr>
                <w:rFonts w:asciiTheme="minorHAnsi" w:hAnsiTheme="minorHAnsi" w:cstheme="minorHAnsi"/>
                <w:szCs w:val="24"/>
              </w:rPr>
              <w:t>Ove izmjene i dopune Odluke o komunalnom doprinosu predlažu se, dakle, radi  usklađivanja do sada važećih utvrđenja sa navedenim odredbama Zakona o komunalnom gospodarstvu.</w:t>
            </w:r>
          </w:p>
        </w:tc>
      </w:tr>
      <w:tr w:rsidR="00663CC7" w14:paraId="5D558A70" w14:textId="77777777">
        <w:trPr>
          <w:trHeight w:val="1996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FB6F3A" w14:textId="77777777" w:rsidR="00663CC7" w:rsidRPr="00550FB0" w:rsidRDefault="00423CF7" w:rsidP="00550FB0">
            <w:pPr>
              <w:spacing w:after="0" w:line="259" w:lineRule="auto"/>
              <w:ind w:left="14" w:right="40" w:firstLine="5"/>
              <w:jc w:val="left"/>
              <w:rPr>
                <w:b/>
                <w:bCs/>
              </w:rPr>
            </w:pPr>
            <w:r w:rsidRPr="00550FB0">
              <w:rPr>
                <w:b/>
                <w:bCs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6B4FF" w14:textId="633E6A71" w:rsidR="00663CC7" w:rsidRDefault="00DB5AED" w:rsidP="00525FA9">
            <w:pPr>
              <w:pStyle w:val="Odlomakpopisa"/>
              <w:numPr>
                <w:ilvl w:val="0"/>
                <w:numId w:val="2"/>
              </w:numPr>
              <w:spacing w:after="0" w:line="259" w:lineRule="auto"/>
              <w:jc w:val="left"/>
            </w:pPr>
            <w:r>
              <w:t>MO Dubrava kod Šibenika</w:t>
            </w:r>
            <w:r w:rsidR="00423CF7">
              <w:t xml:space="preserve">, kontakt: </w:t>
            </w:r>
            <w:r w:rsidR="001C4DF5">
              <w:t>098 337222</w:t>
            </w:r>
            <w:r>
              <w:t xml:space="preserve"> (Tomo Grubišić)</w:t>
            </w:r>
          </w:p>
          <w:p w14:paraId="7F96F582" w14:textId="7AC5C62A" w:rsidR="00663CC7" w:rsidRDefault="001C4DF5" w:rsidP="00550FB0">
            <w:pPr>
              <w:pStyle w:val="Odlomakpopisa"/>
              <w:numPr>
                <w:ilvl w:val="0"/>
                <w:numId w:val="2"/>
              </w:numPr>
              <w:spacing w:after="0" w:line="259" w:lineRule="auto"/>
              <w:jc w:val="left"/>
            </w:pPr>
            <w:r>
              <w:t>MIAB d</w:t>
            </w:r>
            <w:r w:rsidR="00DB5AED">
              <w:t>.o.o. Šibenik</w:t>
            </w:r>
          </w:p>
        </w:tc>
      </w:tr>
      <w:tr w:rsidR="00663CC7" w14:paraId="02F62583" w14:textId="77777777">
        <w:trPr>
          <w:trHeight w:val="4384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CE19A" w14:textId="77777777" w:rsidR="00663CC7" w:rsidRPr="00550FB0" w:rsidRDefault="00423CF7" w:rsidP="00441F0A">
            <w:pPr>
              <w:spacing w:after="0" w:line="259" w:lineRule="auto"/>
              <w:ind w:left="14" w:right="467" w:firstLine="10"/>
              <w:jc w:val="left"/>
              <w:rPr>
                <w:b/>
                <w:bCs/>
              </w:rPr>
            </w:pPr>
            <w:r w:rsidRPr="00550FB0">
              <w:rPr>
                <w:b/>
                <w:bCs/>
              </w:rPr>
              <w:t>Primjedbe, komentari i prijedlozi na pojedine odredbe javnog poziva</w:t>
            </w:r>
          </w:p>
        </w:tc>
        <w:tc>
          <w:tcPr>
            <w:tcW w:w="6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345839" w14:textId="0390FF39" w:rsidR="00DB5AED" w:rsidRDefault="00423CF7" w:rsidP="00441F0A">
            <w:pPr>
              <w:pStyle w:val="Odlomakpopisa"/>
              <w:numPr>
                <w:ilvl w:val="0"/>
                <w:numId w:val="6"/>
              </w:numPr>
              <w:spacing w:after="0" w:line="216" w:lineRule="auto"/>
              <w:jc w:val="left"/>
            </w:pPr>
            <w:r w:rsidRPr="00550FB0">
              <w:rPr>
                <w:b/>
                <w:bCs/>
              </w:rPr>
              <w:t>Prijedlog</w:t>
            </w:r>
            <w:r>
              <w:t xml:space="preserve">: </w:t>
            </w:r>
            <w:r w:rsidR="00DB5AED">
              <w:t>Tomo Grubišić</w:t>
            </w:r>
            <w:r w:rsidR="00FF3292">
              <w:t>,</w:t>
            </w:r>
            <w:r w:rsidR="00DB5AED">
              <w:t xml:space="preserve"> predstavnik MO Dubrava </w:t>
            </w:r>
            <w:r w:rsidR="00E65759">
              <w:t>:</w:t>
            </w:r>
          </w:p>
          <w:p w14:paraId="735F9B1E" w14:textId="774F5F4C" w:rsidR="00DB5AED" w:rsidRDefault="00DB5AED" w:rsidP="00441F0A">
            <w:pPr>
              <w:spacing w:after="0" w:line="240" w:lineRule="auto"/>
              <w:ind w:left="352"/>
              <w:jc w:val="left"/>
            </w:pPr>
            <w:r w:rsidRPr="00DB5AED">
              <w:t>Smatra da se mora kod izrade ove Odluke povesti računa o tome da se određeni popusti dodijele i stanovnicima konkretno u našem slučaju Dubrave kod Šibenika koji su iz nekih razloga imali privremenu promjenu boravišta izvan područja Grada Šibenika. Ovdje prvenstveno misli na mlade ljude koji su rođeni, odrasli i proveli djetinjstvo i mladost u Dubravi ali su većinom zbog egzistencijalnih problema privremeno morali napustiti Dubravu. Ovdje</w:t>
            </w:r>
            <w:r w:rsidR="00FF3292">
              <w:t xml:space="preserve"> da</w:t>
            </w:r>
            <w:r w:rsidRPr="00DB5AED">
              <w:t xml:space="preserve"> imamo situaciju da će pojedini investitori ostvariti veća prava od domicilnog stanovništva. Konkretno ako neki mladi čovjek nakon završenog fakulteta ostane u mjestu studiranja ili ode u neki drugi grad i zaposli se na neko vrijeme „pada mu u vodu“ njegovih cca 25 godina življenja u Dubravi. Isto tako </w:t>
            </w:r>
            <w:r w:rsidR="00C765A2">
              <w:t xml:space="preserve">da </w:t>
            </w:r>
            <w:r w:rsidRPr="00DB5AED">
              <w:t>imamo situaciju da pojedini mladi ljud</w:t>
            </w:r>
            <w:r w:rsidR="000E4EF9">
              <w:t>i</w:t>
            </w:r>
            <w:r w:rsidRPr="00DB5AED">
              <w:t xml:space="preserve"> pokušaju naći sreću u drugim državama ali se jako brzo vrate jer shvate da im je ovdje ipak bolje, a kući ih dočeka situacija da zbog tog malog „izleta“ gube pravo na popust kod gradnje i plaćanja komunalnog doprinosa.</w:t>
            </w:r>
          </w:p>
          <w:p w14:paraId="4266DA37" w14:textId="61469BA1" w:rsidR="00441F0A" w:rsidRDefault="00423CF7" w:rsidP="00441F0A">
            <w:pPr>
              <w:spacing w:after="0" w:line="240" w:lineRule="auto"/>
              <w:ind w:left="352" w:hanging="6"/>
              <w:jc w:val="left"/>
            </w:pPr>
            <w:r w:rsidRPr="00525FA9">
              <w:rPr>
                <w:b/>
                <w:bCs/>
              </w:rPr>
              <w:lastRenderedPageBreak/>
              <w:t>Odgovor</w:t>
            </w:r>
            <w:r>
              <w:t xml:space="preserve">: </w:t>
            </w:r>
            <w:r w:rsidR="00DB5AED">
              <w:t>Ne prihvaća se</w:t>
            </w:r>
            <w:r w:rsidR="00525FA9">
              <w:t xml:space="preserve"> jer </w:t>
            </w:r>
            <w:r>
              <w:t xml:space="preserve">postoje različiti oblici povezanosti </w:t>
            </w:r>
            <w:r w:rsidR="00582756">
              <w:t xml:space="preserve">stanovnika RH </w:t>
            </w:r>
            <w:r>
              <w:t xml:space="preserve">sa Gradom Šibenikom i nemoguće je pravično utvrditi tko bi sve imao pravo na predloženi popust, te zato jer </w:t>
            </w:r>
            <w:r w:rsidR="00525FA9">
              <w:t>su moguće razne manipulacije sa prijavom i odjavom prebivališta ( nakon ostvarenja prava ), te prijenosom na druge investitore, a što nije moguće pratiti</w:t>
            </w:r>
            <w:r>
              <w:t>.</w:t>
            </w:r>
          </w:p>
          <w:p w14:paraId="259BB2CA" w14:textId="77777777" w:rsidR="00423CF7" w:rsidRDefault="00423CF7" w:rsidP="00441F0A">
            <w:pPr>
              <w:spacing w:after="0" w:line="240" w:lineRule="auto"/>
              <w:ind w:left="352" w:hanging="6"/>
              <w:jc w:val="left"/>
            </w:pPr>
          </w:p>
          <w:p w14:paraId="1B30718D" w14:textId="3A833445" w:rsidR="00DB5AED" w:rsidRDefault="00423CF7" w:rsidP="00441F0A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left"/>
            </w:pPr>
            <w:r w:rsidRPr="00550FB0">
              <w:rPr>
                <w:b/>
                <w:bCs/>
              </w:rPr>
              <w:t>Prijedlog:</w:t>
            </w:r>
            <w:r>
              <w:t xml:space="preserve"> </w:t>
            </w:r>
            <w:r w:rsidR="00DB5AED">
              <w:t>MIAB d.o.o. Šibenik</w:t>
            </w:r>
          </w:p>
          <w:p w14:paraId="33C60DA9" w14:textId="7512FF1F" w:rsidR="00E65759" w:rsidRDefault="00E65759" w:rsidP="00441F0A">
            <w:pPr>
              <w:spacing w:after="0" w:line="259" w:lineRule="auto"/>
              <w:ind w:left="352" w:firstLine="5"/>
              <w:jc w:val="left"/>
            </w:pPr>
            <w:r>
              <w:t>Predlaže se izmjena teksta predloženog članka 16. kako slijedi:</w:t>
            </w:r>
          </w:p>
          <w:p w14:paraId="349B9362" w14:textId="5ACA56D1" w:rsidR="00E65759" w:rsidRDefault="00E65759" w:rsidP="00441F0A">
            <w:pPr>
              <w:spacing w:after="0" w:line="259" w:lineRule="auto"/>
              <w:ind w:left="352" w:firstLine="5"/>
              <w:jc w:val="left"/>
            </w:pPr>
            <w:r>
              <w:t>Članak 16.</w:t>
            </w:r>
          </w:p>
          <w:p w14:paraId="4F71E174" w14:textId="77777777" w:rsidR="00E65759" w:rsidRDefault="00E65759" w:rsidP="00441F0A">
            <w:pPr>
              <w:spacing w:after="0" w:line="259" w:lineRule="auto"/>
              <w:ind w:left="352" w:firstLine="5"/>
              <w:jc w:val="left"/>
            </w:pPr>
            <w:r>
              <w:t xml:space="preserve">Jedinična vrijednost komunalnog doprinosa umanjuje se i u slijedećim slučajevima: </w:t>
            </w:r>
          </w:p>
          <w:p w14:paraId="5EE30A96" w14:textId="50D88C6E" w:rsidR="00E65759" w:rsidRDefault="00E65759" w:rsidP="00441F0A">
            <w:pPr>
              <w:pStyle w:val="Odlomakpopisa"/>
              <w:numPr>
                <w:ilvl w:val="1"/>
                <w:numId w:val="2"/>
              </w:numPr>
              <w:spacing w:after="0" w:line="259" w:lineRule="auto"/>
              <w:ind w:left="919"/>
              <w:jc w:val="left"/>
            </w:pPr>
            <w:r>
              <w:t>za proizvodne građevine obračunava se koeficijent 0,5 u odnosu na jedinične cijene po zonama.</w:t>
            </w:r>
          </w:p>
          <w:p w14:paraId="471A0877" w14:textId="3AFB27BD" w:rsidR="00E65759" w:rsidRDefault="00E65759" w:rsidP="00441F0A">
            <w:pPr>
              <w:pStyle w:val="Odlomakpopisa"/>
              <w:numPr>
                <w:ilvl w:val="1"/>
                <w:numId w:val="2"/>
              </w:numPr>
              <w:spacing w:after="0" w:line="259" w:lineRule="auto"/>
              <w:ind w:left="919"/>
              <w:jc w:val="left"/>
            </w:pPr>
            <w:r>
              <w:t>za građevine u kojima se obavljaju zanatske usluge obračunava se koeficijent 0,5 u odnosu na jedinične cijene po zonama.</w:t>
            </w:r>
          </w:p>
          <w:p w14:paraId="4CC38D41" w14:textId="69497900" w:rsidR="00E65759" w:rsidRDefault="00E65759" w:rsidP="00441F0A">
            <w:pPr>
              <w:pStyle w:val="Odlomakpopisa"/>
              <w:numPr>
                <w:ilvl w:val="1"/>
                <w:numId w:val="2"/>
              </w:numPr>
              <w:spacing w:after="0" w:line="259" w:lineRule="auto"/>
              <w:ind w:left="919"/>
              <w:jc w:val="left"/>
            </w:pPr>
            <w:r>
              <w:t>za otvorene građevine za sport i rekreaciju, bazene i druge otvorene građevine, te za zatvorene objekte iste namjene obračunava se koeficijent 0,2 u odnosu na jedinične cijene po zonama.</w:t>
            </w:r>
          </w:p>
          <w:p w14:paraId="050ED028" w14:textId="38A4F507" w:rsidR="00E65759" w:rsidRDefault="00E65759" w:rsidP="00441F0A">
            <w:pPr>
              <w:pStyle w:val="Odlomakpopisa"/>
              <w:numPr>
                <w:ilvl w:val="1"/>
                <w:numId w:val="2"/>
              </w:numPr>
              <w:spacing w:after="0" w:line="259" w:lineRule="auto"/>
              <w:ind w:left="919"/>
              <w:jc w:val="left"/>
            </w:pPr>
            <w:r>
              <w:t>za pomoćne građevine ( građevine u funkciji osnovne zgrade – garaža, sušara, vrtna kućica, zimska kuhinja itd. koja ima jednu etažu i čija tlocrtna površina nije veća od 50 m2 )  obračunava se koeficijent 0,5 u odnosu na jedinične cijene po zonama.</w:t>
            </w:r>
          </w:p>
          <w:p w14:paraId="24544455" w14:textId="6399C892" w:rsidR="00E65759" w:rsidRDefault="00E65759" w:rsidP="00441F0A">
            <w:pPr>
              <w:pStyle w:val="Odlomakpopisa"/>
              <w:numPr>
                <w:ilvl w:val="1"/>
                <w:numId w:val="2"/>
              </w:numPr>
              <w:spacing w:after="0" w:line="259" w:lineRule="auto"/>
              <w:ind w:left="919"/>
              <w:jc w:val="left"/>
            </w:pPr>
            <w:r>
              <w:t>za gospodarske ( poljoprivredne i stočarske ) građevine obračunava se koeficijent 0,1 u odnosu na jedinične cijene po zonama.</w:t>
            </w:r>
          </w:p>
          <w:p w14:paraId="5DB6C873" w14:textId="31C230B6" w:rsidR="00E65759" w:rsidRDefault="00E65759" w:rsidP="00441F0A">
            <w:pPr>
              <w:spacing w:after="0" w:line="259" w:lineRule="auto"/>
              <w:ind w:left="352" w:firstLine="5"/>
              <w:jc w:val="left"/>
            </w:pPr>
            <w:r w:rsidRPr="00E65759">
              <w:rPr>
                <w:b/>
                <w:bCs/>
              </w:rPr>
              <w:t xml:space="preserve">Odgovor: </w:t>
            </w:r>
            <w:r w:rsidRPr="00E65759">
              <w:t>Prihvaća se izmjena</w:t>
            </w:r>
            <w:r>
              <w:rPr>
                <w:b/>
                <w:bCs/>
              </w:rPr>
              <w:t xml:space="preserve"> </w:t>
            </w:r>
            <w:r w:rsidRPr="00E65759">
              <w:t>koeficijen</w:t>
            </w:r>
            <w:r>
              <w:t>t</w:t>
            </w:r>
            <w:r w:rsidRPr="00E65759">
              <w:t xml:space="preserve">a umanjenja za djelatnosti </w:t>
            </w:r>
            <w:r>
              <w:t>navedene u alineji 2.</w:t>
            </w:r>
            <w:r w:rsidR="00FF3292">
              <w:t>,</w:t>
            </w:r>
            <w:r>
              <w:t xml:space="preserve"> na 0,5</w:t>
            </w:r>
            <w:r w:rsidR="00FF3292">
              <w:t>,</w:t>
            </w:r>
            <w:r>
              <w:t xml:space="preserve"> u odnosu na jedinične cijene po zonama, </w:t>
            </w:r>
            <w:r w:rsidR="00FF3292">
              <w:t>radi poticanja obavljanja zanatskih usluga</w:t>
            </w:r>
            <w:r w:rsidR="00441F0A">
              <w:t>, a i iznosi komunalnog doprinosa se zadržavaju u okviru onih koji su bili i do sada.</w:t>
            </w:r>
          </w:p>
          <w:p w14:paraId="046071B0" w14:textId="4450C753" w:rsidR="00663CC7" w:rsidRDefault="00E65759" w:rsidP="00441F0A">
            <w:pPr>
              <w:spacing w:after="0" w:line="259" w:lineRule="auto"/>
              <w:ind w:left="352" w:firstLine="5"/>
              <w:jc w:val="left"/>
            </w:pPr>
            <w:r w:rsidRPr="00E65759">
              <w:t>Ostali prijedlozi se ne prihvaćaju</w:t>
            </w:r>
            <w:r>
              <w:t xml:space="preserve"> </w:t>
            </w:r>
            <w:r w:rsidR="00FF3292">
              <w:t>jer su promjene</w:t>
            </w:r>
            <w:r w:rsidR="00441F0A">
              <w:t xml:space="preserve"> za predmetne djelatnosti</w:t>
            </w:r>
            <w:r w:rsidR="00FF3292">
              <w:t>, u zonama u kojima se najčešće (pretežno ) obavljaju, neznatne</w:t>
            </w:r>
            <w:r w:rsidR="00441F0A">
              <w:t>, a kod djelatnosti iz alineje 3. smatra se opravdano povećanje iznosa u prvoj i drugoj zoni.</w:t>
            </w:r>
          </w:p>
        </w:tc>
      </w:tr>
    </w:tbl>
    <w:p w14:paraId="3809CB63" w14:textId="762BB54A" w:rsidR="00663CC7" w:rsidRDefault="00663CC7" w:rsidP="00FF3292">
      <w:pPr>
        <w:ind w:left="0" w:firstLine="0"/>
      </w:pPr>
    </w:p>
    <w:p w14:paraId="6ACC62AA" w14:textId="77777777" w:rsidR="00663CC7" w:rsidRDefault="00423CF7" w:rsidP="00550FB0">
      <w:pPr>
        <w:spacing w:after="240" w:line="221" w:lineRule="auto"/>
        <w:ind w:left="6" w:hanging="6"/>
      </w:pPr>
      <w:r>
        <w:t>Sukladno odredbama članka 11. stavka 4. Zakona o pravu na pristup informacijama (NN 25/13 i 85/15), Grad Šibenik izradio je ovo izvješće o savjetovanju s javnošću i objavit će ga na svojoj internetskoj stranici.</w:t>
      </w:r>
    </w:p>
    <w:p w14:paraId="3DF21276" w14:textId="7F3E5CCB" w:rsidR="00663CC7" w:rsidRDefault="00423CF7" w:rsidP="00FF3292">
      <w:pPr>
        <w:spacing w:after="0"/>
        <w:ind w:left="4"/>
      </w:pPr>
      <w:r>
        <w:t xml:space="preserve">KLASA: </w:t>
      </w:r>
      <w:r w:rsidR="00FF3292">
        <w:t>363</w:t>
      </w:r>
      <w:r>
        <w:t>-01/21-01/</w:t>
      </w:r>
      <w:r w:rsidR="00FF3292">
        <w:t>151</w:t>
      </w:r>
    </w:p>
    <w:p w14:paraId="0ABB18B4" w14:textId="4505205B" w:rsidR="00663CC7" w:rsidRDefault="00423CF7" w:rsidP="00FF3292">
      <w:pPr>
        <w:spacing w:after="0"/>
        <w:ind w:left="4"/>
      </w:pPr>
      <w:r>
        <w:t>URBROJ: 2182/01-10/1-21-</w:t>
      </w:r>
      <w:r w:rsidR="00C765A2">
        <w:t>1</w:t>
      </w:r>
    </w:p>
    <w:p w14:paraId="46AF7114" w14:textId="37487AF3" w:rsidR="00663CC7" w:rsidRDefault="00423CF7" w:rsidP="00550FB0">
      <w:pPr>
        <w:spacing w:after="720" w:line="221" w:lineRule="auto"/>
        <w:ind w:left="6" w:hanging="6"/>
      </w:pPr>
      <w:r>
        <w:t xml:space="preserve">Šibenik, </w:t>
      </w:r>
      <w:r w:rsidR="00FF3292">
        <w:t>06</w:t>
      </w:r>
      <w:r>
        <w:t xml:space="preserve">. </w:t>
      </w:r>
      <w:r w:rsidR="00FF3292">
        <w:t>rujna</w:t>
      </w:r>
      <w:r>
        <w:t xml:space="preserve"> 2021. godine</w:t>
      </w:r>
    </w:p>
    <w:p w14:paraId="5391F53D" w14:textId="77777777" w:rsidR="00663CC7" w:rsidRDefault="00423CF7" w:rsidP="00550FB0">
      <w:pPr>
        <w:pStyle w:val="Naslov1"/>
        <w:ind w:left="5245" w:right="628" w:firstLine="0"/>
        <w:jc w:val="center"/>
      </w:pPr>
      <w:r>
        <w:lastRenderedPageBreak/>
        <w:t>GRAD ŠIBENIK</w:t>
      </w:r>
    </w:p>
    <w:p w14:paraId="6C47EB20" w14:textId="710378DC" w:rsidR="00FF3292" w:rsidRDefault="00423CF7" w:rsidP="00550FB0">
      <w:pPr>
        <w:spacing w:after="120" w:line="221" w:lineRule="auto"/>
        <w:ind w:left="5245" w:firstLine="0"/>
        <w:jc w:val="center"/>
      </w:pPr>
      <w:r>
        <w:t xml:space="preserve">Upravni odjel za </w:t>
      </w:r>
      <w:r w:rsidR="00FF3292">
        <w:t>komunalne djelatnosti</w:t>
      </w:r>
      <w:r w:rsidR="00550FB0">
        <w:br/>
      </w:r>
      <w:r w:rsidR="00FF3292">
        <w:t>Pročelnik: Ante Nakić, struč.spec.ing.aedif</w:t>
      </w:r>
    </w:p>
    <w:p w14:paraId="62F8B4FC" w14:textId="266004A9" w:rsidR="00663CC7" w:rsidRDefault="00663CC7">
      <w:pPr>
        <w:pStyle w:val="Naslov1"/>
        <w:ind w:left="10" w:right="816"/>
      </w:pPr>
    </w:p>
    <w:sectPr w:rsidR="00663CC7" w:rsidSect="00550FB0">
      <w:pgSz w:w="11900" w:h="16820"/>
      <w:pgMar w:top="629" w:right="1094" w:bottom="993" w:left="11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7978"/>
    <w:multiLevelType w:val="hybridMultilevel"/>
    <w:tmpl w:val="5220F7B6"/>
    <w:lvl w:ilvl="0" w:tplc="CCC64256">
      <w:start w:val="1"/>
      <w:numFmt w:val="decimalZero"/>
      <w:lvlText w:val="%1."/>
      <w:lvlJc w:val="left"/>
      <w:pPr>
        <w:ind w:left="384" w:hanging="360"/>
      </w:pPr>
      <w:rPr>
        <w:rFonts w:hint="default"/>
        <w:sz w:val="26"/>
      </w:rPr>
    </w:lvl>
    <w:lvl w:ilvl="1" w:tplc="041A0019" w:tentative="1">
      <w:start w:val="1"/>
      <w:numFmt w:val="lowerLetter"/>
      <w:lvlText w:val="%2."/>
      <w:lvlJc w:val="left"/>
      <w:pPr>
        <w:ind w:left="1104" w:hanging="360"/>
      </w:pPr>
    </w:lvl>
    <w:lvl w:ilvl="2" w:tplc="041A001B" w:tentative="1">
      <w:start w:val="1"/>
      <w:numFmt w:val="lowerRoman"/>
      <w:lvlText w:val="%3."/>
      <w:lvlJc w:val="right"/>
      <w:pPr>
        <w:ind w:left="1824" w:hanging="180"/>
      </w:pPr>
    </w:lvl>
    <w:lvl w:ilvl="3" w:tplc="041A000F" w:tentative="1">
      <w:start w:val="1"/>
      <w:numFmt w:val="decimal"/>
      <w:lvlText w:val="%4."/>
      <w:lvlJc w:val="left"/>
      <w:pPr>
        <w:ind w:left="2544" w:hanging="360"/>
      </w:pPr>
    </w:lvl>
    <w:lvl w:ilvl="4" w:tplc="041A0019" w:tentative="1">
      <w:start w:val="1"/>
      <w:numFmt w:val="lowerLetter"/>
      <w:lvlText w:val="%5."/>
      <w:lvlJc w:val="left"/>
      <w:pPr>
        <w:ind w:left="3264" w:hanging="360"/>
      </w:pPr>
    </w:lvl>
    <w:lvl w:ilvl="5" w:tplc="041A001B" w:tentative="1">
      <w:start w:val="1"/>
      <w:numFmt w:val="lowerRoman"/>
      <w:lvlText w:val="%6."/>
      <w:lvlJc w:val="right"/>
      <w:pPr>
        <w:ind w:left="3984" w:hanging="180"/>
      </w:pPr>
    </w:lvl>
    <w:lvl w:ilvl="6" w:tplc="041A000F" w:tentative="1">
      <w:start w:val="1"/>
      <w:numFmt w:val="decimal"/>
      <w:lvlText w:val="%7."/>
      <w:lvlJc w:val="left"/>
      <w:pPr>
        <w:ind w:left="4704" w:hanging="360"/>
      </w:pPr>
    </w:lvl>
    <w:lvl w:ilvl="7" w:tplc="041A0019" w:tentative="1">
      <w:start w:val="1"/>
      <w:numFmt w:val="lowerLetter"/>
      <w:lvlText w:val="%8."/>
      <w:lvlJc w:val="left"/>
      <w:pPr>
        <w:ind w:left="5424" w:hanging="360"/>
      </w:pPr>
    </w:lvl>
    <w:lvl w:ilvl="8" w:tplc="041A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1050721C"/>
    <w:multiLevelType w:val="hybridMultilevel"/>
    <w:tmpl w:val="C10A3B9A"/>
    <w:lvl w:ilvl="0" w:tplc="77AC7F6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5" w:hanging="360"/>
      </w:pPr>
    </w:lvl>
    <w:lvl w:ilvl="2" w:tplc="041A001B" w:tentative="1">
      <w:start w:val="1"/>
      <w:numFmt w:val="lowerRoman"/>
      <w:lvlText w:val="%3."/>
      <w:lvlJc w:val="right"/>
      <w:pPr>
        <w:ind w:left="2165" w:hanging="180"/>
      </w:pPr>
    </w:lvl>
    <w:lvl w:ilvl="3" w:tplc="041A000F" w:tentative="1">
      <w:start w:val="1"/>
      <w:numFmt w:val="decimal"/>
      <w:lvlText w:val="%4."/>
      <w:lvlJc w:val="left"/>
      <w:pPr>
        <w:ind w:left="2885" w:hanging="360"/>
      </w:pPr>
    </w:lvl>
    <w:lvl w:ilvl="4" w:tplc="041A0019" w:tentative="1">
      <w:start w:val="1"/>
      <w:numFmt w:val="lowerLetter"/>
      <w:lvlText w:val="%5."/>
      <w:lvlJc w:val="left"/>
      <w:pPr>
        <w:ind w:left="3605" w:hanging="360"/>
      </w:pPr>
    </w:lvl>
    <w:lvl w:ilvl="5" w:tplc="041A001B" w:tentative="1">
      <w:start w:val="1"/>
      <w:numFmt w:val="lowerRoman"/>
      <w:lvlText w:val="%6."/>
      <w:lvlJc w:val="right"/>
      <w:pPr>
        <w:ind w:left="4325" w:hanging="180"/>
      </w:pPr>
    </w:lvl>
    <w:lvl w:ilvl="6" w:tplc="041A000F" w:tentative="1">
      <w:start w:val="1"/>
      <w:numFmt w:val="decimal"/>
      <w:lvlText w:val="%7."/>
      <w:lvlJc w:val="left"/>
      <w:pPr>
        <w:ind w:left="5045" w:hanging="360"/>
      </w:pPr>
    </w:lvl>
    <w:lvl w:ilvl="7" w:tplc="041A0019" w:tentative="1">
      <w:start w:val="1"/>
      <w:numFmt w:val="lowerLetter"/>
      <w:lvlText w:val="%8."/>
      <w:lvlJc w:val="left"/>
      <w:pPr>
        <w:ind w:left="5765" w:hanging="360"/>
      </w:pPr>
    </w:lvl>
    <w:lvl w:ilvl="8" w:tplc="041A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 w15:restartNumberingAfterBreak="0">
    <w:nsid w:val="1C884B7F"/>
    <w:multiLevelType w:val="hybridMultilevel"/>
    <w:tmpl w:val="3D203FCC"/>
    <w:lvl w:ilvl="0" w:tplc="2EC4837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F43E8B14">
      <w:numFmt w:val="bullet"/>
      <w:lvlText w:val="-"/>
      <w:lvlJc w:val="left"/>
      <w:pPr>
        <w:ind w:left="1085" w:hanging="360"/>
      </w:pPr>
      <w:rPr>
        <w:rFonts w:ascii="Calibri" w:eastAsia="Calibr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1805" w:hanging="180"/>
      </w:pPr>
    </w:lvl>
    <w:lvl w:ilvl="3" w:tplc="041A000F" w:tentative="1">
      <w:start w:val="1"/>
      <w:numFmt w:val="decimal"/>
      <w:lvlText w:val="%4."/>
      <w:lvlJc w:val="left"/>
      <w:pPr>
        <w:ind w:left="2525" w:hanging="360"/>
      </w:pPr>
    </w:lvl>
    <w:lvl w:ilvl="4" w:tplc="041A0019" w:tentative="1">
      <w:start w:val="1"/>
      <w:numFmt w:val="lowerLetter"/>
      <w:lvlText w:val="%5."/>
      <w:lvlJc w:val="left"/>
      <w:pPr>
        <w:ind w:left="3245" w:hanging="360"/>
      </w:pPr>
    </w:lvl>
    <w:lvl w:ilvl="5" w:tplc="041A001B" w:tentative="1">
      <w:start w:val="1"/>
      <w:numFmt w:val="lowerRoman"/>
      <w:lvlText w:val="%6."/>
      <w:lvlJc w:val="right"/>
      <w:pPr>
        <w:ind w:left="3965" w:hanging="180"/>
      </w:pPr>
    </w:lvl>
    <w:lvl w:ilvl="6" w:tplc="041A000F" w:tentative="1">
      <w:start w:val="1"/>
      <w:numFmt w:val="decimal"/>
      <w:lvlText w:val="%7."/>
      <w:lvlJc w:val="left"/>
      <w:pPr>
        <w:ind w:left="4685" w:hanging="360"/>
      </w:pPr>
    </w:lvl>
    <w:lvl w:ilvl="7" w:tplc="041A0019" w:tentative="1">
      <w:start w:val="1"/>
      <w:numFmt w:val="lowerLetter"/>
      <w:lvlText w:val="%8."/>
      <w:lvlJc w:val="left"/>
      <w:pPr>
        <w:ind w:left="5405" w:hanging="360"/>
      </w:pPr>
    </w:lvl>
    <w:lvl w:ilvl="8" w:tplc="041A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1D947B95"/>
    <w:multiLevelType w:val="hybridMultilevel"/>
    <w:tmpl w:val="A0C88D86"/>
    <w:lvl w:ilvl="0" w:tplc="6EF41FEA">
      <w:start w:val="1"/>
      <w:numFmt w:val="bullet"/>
      <w:lvlText w:val="-"/>
      <w:lvlJc w:val="left"/>
      <w:pPr>
        <w:ind w:left="3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1F715EA4"/>
    <w:multiLevelType w:val="hybridMultilevel"/>
    <w:tmpl w:val="1374B928"/>
    <w:lvl w:ilvl="0" w:tplc="6EF41FEA">
      <w:start w:val="1"/>
      <w:numFmt w:val="bullet"/>
      <w:lvlText w:val="-"/>
      <w:lvlJc w:val="left"/>
      <w:pPr>
        <w:ind w:left="722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05E5B1D"/>
    <w:multiLevelType w:val="hybridMultilevel"/>
    <w:tmpl w:val="E2FC8164"/>
    <w:lvl w:ilvl="0" w:tplc="77AC7F6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4" w:hanging="360"/>
      </w:pPr>
    </w:lvl>
    <w:lvl w:ilvl="2" w:tplc="041A001B" w:tentative="1">
      <w:start w:val="1"/>
      <w:numFmt w:val="lowerRoman"/>
      <w:lvlText w:val="%3."/>
      <w:lvlJc w:val="right"/>
      <w:pPr>
        <w:ind w:left="1814" w:hanging="180"/>
      </w:pPr>
    </w:lvl>
    <w:lvl w:ilvl="3" w:tplc="041A000F" w:tentative="1">
      <w:start w:val="1"/>
      <w:numFmt w:val="decimal"/>
      <w:lvlText w:val="%4."/>
      <w:lvlJc w:val="left"/>
      <w:pPr>
        <w:ind w:left="2534" w:hanging="360"/>
      </w:pPr>
    </w:lvl>
    <w:lvl w:ilvl="4" w:tplc="041A0019" w:tentative="1">
      <w:start w:val="1"/>
      <w:numFmt w:val="lowerLetter"/>
      <w:lvlText w:val="%5."/>
      <w:lvlJc w:val="left"/>
      <w:pPr>
        <w:ind w:left="3254" w:hanging="360"/>
      </w:pPr>
    </w:lvl>
    <w:lvl w:ilvl="5" w:tplc="041A001B" w:tentative="1">
      <w:start w:val="1"/>
      <w:numFmt w:val="lowerRoman"/>
      <w:lvlText w:val="%6."/>
      <w:lvlJc w:val="right"/>
      <w:pPr>
        <w:ind w:left="3974" w:hanging="180"/>
      </w:pPr>
    </w:lvl>
    <w:lvl w:ilvl="6" w:tplc="041A000F" w:tentative="1">
      <w:start w:val="1"/>
      <w:numFmt w:val="decimal"/>
      <w:lvlText w:val="%7."/>
      <w:lvlJc w:val="left"/>
      <w:pPr>
        <w:ind w:left="4694" w:hanging="360"/>
      </w:pPr>
    </w:lvl>
    <w:lvl w:ilvl="7" w:tplc="041A0019" w:tentative="1">
      <w:start w:val="1"/>
      <w:numFmt w:val="lowerLetter"/>
      <w:lvlText w:val="%8."/>
      <w:lvlJc w:val="left"/>
      <w:pPr>
        <w:ind w:left="5414" w:hanging="360"/>
      </w:pPr>
    </w:lvl>
    <w:lvl w:ilvl="8" w:tplc="041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7BEC6D0F"/>
    <w:multiLevelType w:val="hybridMultilevel"/>
    <w:tmpl w:val="9AD8FFA4"/>
    <w:lvl w:ilvl="0" w:tplc="386252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CC7"/>
    <w:rsid w:val="000E4EF9"/>
    <w:rsid w:val="001C4DF5"/>
    <w:rsid w:val="00423CF7"/>
    <w:rsid w:val="00441F0A"/>
    <w:rsid w:val="00525FA9"/>
    <w:rsid w:val="00550FB0"/>
    <w:rsid w:val="00582756"/>
    <w:rsid w:val="00663CC7"/>
    <w:rsid w:val="00C765A2"/>
    <w:rsid w:val="00DB5AED"/>
    <w:rsid w:val="00E65759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F848"/>
  <w15:docId w15:val="{AB2459AA-90E8-4D72-844B-ABDABCB7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3" w:line="220" w:lineRule="auto"/>
      <w:ind w:left="10" w:hanging="5"/>
      <w:jc w:val="both"/>
    </w:pPr>
    <w:rPr>
      <w:rFonts w:ascii="Calibri" w:eastAsia="Calibri" w:hAnsi="Calibri" w:cs="Calibri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62"/>
      <w:ind w:left="15" w:hanging="10"/>
      <w:jc w:val="right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1C4DF5"/>
    <w:pPr>
      <w:ind w:left="720"/>
      <w:contextualSpacing/>
    </w:pPr>
  </w:style>
  <w:style w:type="paragraph" w:styleId="Tijeloteksta">
    <w:name w:val="Body Text"/>
    <w:basedOn w:val="Normal"/>
    <w:link w:val="TijelotekstaChar"/>
    <w:rsid w:val="00E65759"/>
    <w:pPr>
      <w:spacing w:after="0" w:line="240" w:lineRule="auto"/>
      <w:ind w:left="0" w:firstLine="0"/>
      <w:jc w:val="left"/>
    </w:pPr>
    <w:rPr>
      <w:rFonts w:ascii="Arial" w:eastAsia="Times New Roman" w:hAnsi="Arial" w:cs="Arial"/>
      <w:b/>
      <w:color w:val="auto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65759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SKM_C25821051813180</vt:lpstr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SKM_C25821051813180</dc:title>
  <dc:subject/>
  <dc:creator>Radomir Vujović</dc:creator>
  <cp:keywords/>
  <cp:lastModifiedBy>Radomir Vujović</cp:lastModifiedBy>
  <cp:revision>4</cp:revision>
  <cp:lastPrinted>2021-09-06T11:43:00Z</cp:lastPrinted>
  <dcterms:created xsi:type="dcterms:W3CDTF">2021-09-06T12:37:00Z</dcterms:created>
  <dcterms:modified xsi:type="dcterms:W3CDTF">2021-09-07T10:35:00Z</dcterms:modified>
</cp:coreProperties>
</file>